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обучающимися 4 класса общеобразовательной школы  в соответствии с требованиями Федерального государственного общеобразовательного стандарта начального общего образования,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Примерных программ начального общего образования, на основе авторской программы по ИЗО Б.М. Неменского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2012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Цели: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так же постижение роли художника в синтетических искусствах – искусстве книги, театре, кино и т.д. Они изучаются в контексте взаимодействия с другими искусствами, а так же в контексте конкретных связей с жизнью общества и человека.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изобразительная художественная деятельность;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декоративно-художественная деятельность;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конструктивная художественная деятельность.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Изобразительное искусство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виды учебной деятельности - практическая  художественно-творческая деятельность ученика и восприятие красоты окружающего мира и произведений искусства. Практическая художественно-творческая деятельность(ребенок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характер. Учащиеся осваивают различные художественные материалы, инструменты, художественные техники.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Одна из задач –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Восприятие произведений искусств, предполагает развитие специальных навыков, чувств, а так же овладение образным языком искусств.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художественно-творческого мышления учащихся строится на единстве двух его основ: развитие наблюдательности и развитие фантазии.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школы  на изучение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4 классе отведено 34 часов (из расчёта 1 учебный час в неделю, 34 учебных недель).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