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учащимися 2 класса общеобразовательной школы  в соответствии с требованиями Федерального государственного общеобразовательного стандарта начального общего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ИЗО Б.М. Неменского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2012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Цели курса: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Задачи обучения: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совершенствование эмоционально-образного восприятия произведений искусства и окружающего мира;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навыков работы с различными художественными материалами.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Тематически-поурочный принцип планирования учебного материала: все темы уроков подчинены общей теме четверти, что отвечает задачам нравственного, трудового и эстетического воспитания школьников, учитывает интересы детей, их возрастные особенности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Яркая выраженность познавательно-эстетической сущности изобразительного искусства, что достигается, прежде всего, введением самостоятельного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об изобразительном искусстве и красоте вокруг 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счёт тщательного отбора и систематизации картин, отвечающим принципу доступности;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учебно-творческих заданий на основе ознакомления с народным декоративно-прикладным искусством как важное средство нравственного, трудового и эстетического воспитания;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межпредметных связей (чтение, русский язык,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преемственности в изобразительном творчестве младших школьников и дошкольников;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Направленность содержания программы на активное развитие у детей эмоционально-эстетического отношения к действительности, эмоционального отклика на красоту окружающих предметов, природы и т. 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 на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отведено 34 часов (из расчёта 1 учебного часа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