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учащимися 2 класса общеобразовательной школы  в соответствии с требованиями Федерального государственного общеобразовательного стандарта начального общего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ИЗО Б.М. Неменского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Цели курса: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 обучения: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эмоционально-образного восприятия произведений искусства и окружающего мира;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навыков работы с различными художественными материалами.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Тематически-поурочный принцип планирования учебного материала: все темы уроков подчинены общей теме четверти, что отвечает задачам нравственного, трудового и эстетического воспитания школьников, учитывает интересы детей, их возрастные особенности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об изобразительном искусстве и красоте вокруг 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счёт тщательного отбора и систематизации картин, отвечающим принципу доступности;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учебно-творческих заданий на основе ознакомления с народным декоративно-прикладным искусством как важное средство нравственного, трудового и эстетического воспитания;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межпредметных связей (чтение, русский язык,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преемственности в изобразительном творчестве младших школьников и дошкольников;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Направленность содержания программы на активное развитие у детей эмоционально-эстетического отношения к действительности, эмоционального отклика на красоту окружающих предметов, природы и т. 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 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классе отведено 34 часов (из расчёта 1 учебного часа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